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1C3C" w14:textId="37C10CF3" w:rsidR="00B700BC" w:rsidRPr="00C74AD0" w:rsidRDefault="00B700BC" w:rsidP="00C74AD0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  <w:r w:rsidRPr="00B700BC">
        <w:rPr>
          <w:rFonts w:ascii="Calibri" w:hAnsi="Calibri" w:cs="Calibri"/>
          <w:b/>
          <w:bCs/>
          <w:color w:val="0D0D0D"/>
          <w:kern w:val="36"/>
          <w:sz w:val="52"/>
          <w:szCs w:val="52"/>
        </w:rPr>
        <w:t>SHORTLIST</w:t>
      </w:r>
    </w:p>
    <w:p w14:paraId="60DA3E11" w14:textId="77777777" w:rsidR="00B700BC" w:rsidRDefault="00B700BC" w:rsidP="00B700BC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  <w:r w:rsidRPr="00541A38">
        <w:rPr>
          <w:rFonts w:ascii="Calibri" w:hAnsi="Calibri" w:cs="Calibri"/>
          <w:b/>
          <w:bCs/>
          <w:color w:val="CC3399"/>
          <w:kern w:val="36"/>
          <w:sz w:val="36"/>
          <w:szCs w:val="36"/>
        </w:rPr>
        <w:t>ABSURDITA ROKU 2026</w:t>
      </w:r>
    </w:p>
    <w:p w14:paraId="39C4F24E" w14:textId="77777777" w:rsidR="00C74AD0" w:rsidRPr="00541A38" w:rsidRDefault="00C74AD0" w:rsidP="00B700BC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</w:p>
    <w:p w14:paraId="2F8C0CE9" w14:textId="77777777" w:rsidR="00B700BC" w:rsidRPr="00541A38" w:rsidRDefault="00B700BC" w:rsidP="00B700BC">
      <w:pPr>
        <w:shd w:val="clear" w:color="auto" w:fill="FFFFFF"/>
        <w:spacing w:after="120"/>
        <w:jc w:val="both"/>
        <w:outlineLvl w:val="0"/>
        <w:rPr>
          <w:rFonts w:ascii="Calibri" w:hAnsi="Calibri" w:cs="Calibri"/>
          <w:b/>
          <w:bCs/>
          <w:color w:val="0D0D0D"/>
          <w:kern w:val="36"/>
          <w:sz w:val="36"/>
          <w:szCs w:val="36"/>
        </w:rPr>
      </w:pPr>
      <w:r w:rsidRPr="00541A38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002D3DA" wp14:editId="478637B9">
                <wp:extent cx="5760720" cy="635"/>
                <wp:effectExtent l="0" t="0" r="17780" b="24765"/>
                <wp:docPr id="1491682650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A9F1E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" filled="f">
                <v:path arrowok="t"/>
                <w10:anchorlock/>
              </v:rect>
            </w:pict>
          </mc:Fallback>
        </mc:AlternateContent>
      </w:r>
    </w:p>
    <w:p w14:paraId="4C872C6D" w14:textId="77777777" w:rsidR="00B700BC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2AD80E5A" w14:textId="6CF9E3B0" w:rsidR="00B700BC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Mzdové účtárny jako správci státního datového centra</w:t>
      </w:r>
    </w:p>
    <w:p w14:paraId="6B44D1F8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3DAB6604" w14:textId="48CE768E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Od dubna 2026 mají zaměstnavatelé povinnost posílat státu „jednotné“ měsíční hlášení</w:t>
      </w:r>
      <w:r w:rsidRPr="00541A38">
        <w:rPr>
          <w:rFonts w:ascii="Calibri" w:hAnsi="Calibri" w:cs="Calibri"/>
          <w:color w:val="0D0D0D"/>
        </w:rPr>
        <w:br/>
        <w:t>o zaměstnancích a mzdách. Mělo nahradit zhruba 25 různých formulářů a konečně ulevit mzdovým účtárnám. Na papíře jednoduché řešení, v praxi ale detailní datový balík, který</w:t>
      </w:r>
      <w:r w:rsidR="008A3462">
        <w:rPr>
          <w:rFonts w:ascii="Calibri" w:hAnsi="Calibri" w:cs="Calibri"/>
          <w:color w:val="0D0D0D"/>
        </w:rPr>
        <w:t xml:space="preserve"> </w:t>
      </w:r>
      <w:r w:rsidRPr="00541A38">
        <w:rPr>
          <w:rFonts w:ascii="Calibri" w:hAnsi="Calibri" w:cs="Calibri"/>
          <w:color w:val="0D0D0D"/>
        </w:rPr>
        <w:t>z firem dělá provozovatele státní databáze. Zaměstnavatelé musí pod hrozbou sankcí odevzdávat i informace, které už stát často má v jiných registrech – jen si je neumí sdílet. Systém navíc odstartoval se zpožděním, takže firmy musely zpětně doplňovat data za první měsíce roku a dělat práci dvakrát. Technická pravidla jsou navíc neúprosná: drobná chyba v nepodstatném údaji znamená odmítnutí celého hlášení. Výsledkem je „jednotné hlášení“, které administrativu nesjednotilo, ale zkomplikovalo – a mzdové účetní povýšilo na datové správce státu.</w:t>
      </w:r>
    </w:p>
    <w:p w14:paraId="737580B1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7DD6ECF3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Jednotné měsíční hlášení zaměstnavatele. </w:t>
      </w:r>
      <w:r w:rsidRPr="00541A38">
        <w:rPr>
          <w:rFonts w:ascii="Calibri" w:hAnsi="Calibri" w:cs="Calibri"/>
          <w:b/>
          <w:bCs/>
          <w:i/>
          <w:iCs/>
        </w:rPr>
        <w:t>Zákon č. 323/2025 Sb</w:t>
      </w: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. </w:t>
      </w:r>
    </w:p>
    <w:p w14:paraId="394D20A3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</w:p>
    <w:p w14:paraId="4C242ED9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23260E14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029F3336" w14:textId="77777777" w:rsidR="00B700BC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05F6E78A" w14:textId="374231B3" w:rsidR="00B700BC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Daň na zkoušku. Zvyknout si nestihla ani finanční správa</w:t>
      </w:r>
    </w:p>
    <w:p w14:paraId="1A9AF314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  <w:sz w:val="32"/>
          <w:szCs w:val="32"/>
        </w:rPr>
      </w:pPr>
    </w:p>
    <w:p w14:paraId="6C1D5D8A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V roce 2025 stát zavedl zdanění příjmů z prodeje podílů a cenných papírů nad 40 milionů korun, a to i při splnění časového testu. Majitelé firem a investoři začali reagovat – pořizovali znalecké posudky a upravovali struktury, aby zmírnili daňové dopady. O rok později stát stejný limit zcela zrušil. Výsledkem je legislativní kotrmelec, který narušil právní jistotu a ukázal absenci dlouhodobé daňové strategie. Nešlo přitom o změnu politického kurzu – obě úpravy vznikly ve stejném volebním období.</w:t>
      </w:r>
    </w:p>
    <w:p w14:paraId="3D9A711E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68F25AA5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>Zrušení zdanění podílů a cenných papírů nad 40 mil. Zákon č. 349/2023 Sb.</w:t>
      </w:r>
    </w:p>
    <w:p w14:paraId="348C6879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50D242D3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2D5A70D8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06765F25" w14:textId="77777777" w:rsidR="00B700BC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65BA8B8E" w14:textId="77777777" w:rsidR="00C74AD0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01A7E04B" w14:textId="3C4893F1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lastRenderedPageBreak/>
        <w:t>Jedno razítko vládne všem. Na efektivitě a zrychlení však nepřidá</w:t>
      </w:r>
    </w:p>
    <w:p w14:paraId="64ABF2BD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20545E36" w14:textId="2F9ED2B2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Jednotné environmentální stanovisko (JES) mělo nahradit až 29 samostatných vyjádření orgánů ochrany životního prostředí a zrychlit povolování staveb. V praxi se ale často stává jen dalším povinným mezikrokem, který celý proces prodlužuje. Na žadatele čekají další lhůty</w:t>
      </w:r>
      <w:r w:rsidR="00D4543B">
        <w:rPr>
          <w:rFonts w:ascii="Calibri" w:hAnsi="Calibri" w:cs="Calibri"/>
          <w:color w:val="0D0D0D"/>
        </w:rPr>
        <w:t xml:space="preserve"> </w:t>
      </w:r>
      <w:r w:rsidRPr="00541A38">
        <w:rPr>
          <w:rFonts w:ascii="Calibri" w:hAnsi="Calibri" w:cs="Calibri"/>
          <w:color w:val="0D0D0D"/>
        </w:rPr>
        <w:t>a extra</w:t>
      </w:r>
      <w:r w:rsidR="00C74AD0">
        <w:rPr>
          <w:rFonts w:ascii="Calibri" w:hAnsi="Calibri" w:cs="Calibri"/>
          <w:color w:val="0D0D0D"/>
        </w:rPr>
        <w:t xml:space="preserve"> </w:t>
      </w:r>
      <w:r w:rsidRPr="00541A38">
        <w:rPr>
          <w:rFonts w:ascii="Calibri" w:hAnsi="Calibri" w:cs="Calibri"/>
          <w:color w:val="0D0D0D"/>
        </w:rPr>
        <w:t>doplňování podkladů. Ty se často dodávají znovu a v jiném formátu. V konečném důsledku tak místo zrychlení investoři čekají déle a platí víc za studie a posudky. A to se vyplatí.</w:t>
      </w:r>
    </w:p>
    <w:p w14:paraId="5FAF039A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br/>
        <w:t xml:space="preserve">Jednotné environmentální stanovisko (JES). </w:t>
      </w:r>
      <w:r w:rsidRPr="00541A38">
        <w:rPr>
          <w:rFonts w:ascii="Calibri" w:hAnsi="Calibri" w:cs="Calibri"/>
          <w:b/>
          <w:bCs/>
          <w:i/>
          <w:iCs/>
        </w:rPr>
        <w:t xml:space="preserve">Zákon č. 148/2023 Sb. </w:t>
      </w:r>
    </w:p>
    <w:p w14:paraId="582A02F3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</w:p>
    <w:p w14:paraId="7770A15A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36EB0390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70F48D8A" w14:textId="23B49C0E" w:rsidR="00B700BC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 xml:space="preserve">Zachrání více papírování lesy? </w:t>
      </w:r>
    </w:p>
    <w:p w14:paraId="7F9394F8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70E6EC5A" w14:textId="70E73A43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Nařízení EU o produktech nezpůsobujících odlesňování (EUDR) má zabránit uvádění výrobků spojených s odlesňováním na evropský trh. Firmy musí dokazovat, že produkty jako dřevo, káva, kakao nebo hovězí nepocházejí z odlesněných oblastí. V praxi nařízení zavádí rozsáhlou administrativní povinnost napříč obory a z firem dělá nedobrovolné kontrolory globálních dodavatelských řetězců. Těm narůstá papírování, nutnost archivace a často se objevuje</w:t>
      </w:r>
      <w:r w:rsidR="00D4543B">
        <w:rPr>
          <w:rFonts w:ascii="Calibri" w:hAnsi="Calibri" w:cs="Calibri"/>
          <w:color w:val="0D0D0D"/>
        </w:rPr>
        <w:t xml:space="preserve"> </w:t>
      </w:r>
      <w:r w:rsidRPr="00541A38">
        <w:rPr>
          <w:rFonts w:ascii="Calibri" w:hAnsi="Calibri" w:cs="Calibri"/>
          <w:color w:val="0D0D0D"/>
        </w:rPr>
        <w:t>i nutnost zajišťování geolokačních údajů. Paradoxně se tak ochrana lesů staví na zbytečných tunách papíru, zatímco skutečný přínos pro ochranu přírody zůstává nejistý.</w:t>
      </w:r>
    </w:p>
    <w:p w14:paraId="6606373F" w14:textId="1F9AFAC2" w:rsidR="00B700BC" w:rsidRPr="00541A38" w:rsidRDefault="00D4543B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color w:val="0D0D0D"/>
          <w:sz w:val="30"/>
          <w:szCs w:val="30"/>
        </w:rPr>
        <w:t xml:space="preserve"> </w:t>
      </w:r>
    </w:p>
    <w:p w14:paraId="17826426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EU nařízení proti odlesňování (EUDR). </w:t>
      </w:r>
      <w:hyperlink r:id="rId11" w:history="1">
        <w:r w:rsidRPr="00541A38">
          <w:rPr>
            <w:rFonts w:ascii="Calibri" w:hAnsi="Calibri" w:cs="Calibri"/>
            <w:b/>
            <w:bCs/>
            <w:i/>
            <w:iCs/>
          </w:rPr>
          <w:t>Nařízení EU o produktech nezpůsobujících odlesňování (EUDR)</w:t>
        </w:r>
      </w:hyperlink>
      <w:r w:rsidRPr="00541A38">
        <w:rPr>
          <w:rFonts w:ascii="Calibri" w:hAnsi="Calibri" w:cs="Calibri"/>
          <w:b/>
          <w:bCs/>
          <w:i/>
          <w:iCs/>
        </w:rPr>
        <w:t> (2023/1115).</w:t>
      </w:r>
    </w:p>
    <w:p w14:paraId="0048CDBD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3EEC9371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14E12F38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5C3A6EFE" w14:textId="77777777" w:rsidR="00B700BC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1DDD30AB" w14:textId="22F0E698" w:rsidR="00B700BC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Konec tajemství, začátek debat v</w:t>
      </w: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 </w:t>
      </w: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kuchyňce</w:t>
      </w:r>
    </w:p>
    <w:p w14:paraId="7896F807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49A0C1E0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Od června 2026 budou mít zaměstnanci právo získat informace o tom, jak jsou odměňováni lidé na stejné nebo srovnatelné pozici, a větší firmy budou povinně reportovat mzdové statistiky. Směrnice má posílit férové odměňování, v praxi ale přináší další povinný reporting, nové administrativní náklady a nejistotu, jak pravidla správně aplikovat. Bez jasné české implementace hrozí, že dobře míněný cíl povede k napětí na pracovišti a k formalismu, místo aby skutečně řešil nerovnosti v odměňování. Lidé budou porovnávat platy, aniž by vždy objektivně viděli rozdíl ve výkonu, zkušenostech nebo odpovědnosti.</w:t>
      </w:r>
    </w:p>
    <w:p w14:paraId="373A793B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59499184" w14:textId="77777777" w:rsidR="00B700BC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EU směrnice – zveřejňování platů. </w:t>
      </w:r>
      <w:r w:rsidRPr="00541A38">
        <w:rPr>
          <w:rFonts w:ascii="Calibri" w:hAnsi="Calibri" w:cs="Calibri"/>
          <w:b/>
          <w:bCs/>
          <w:i/>
          <w:iCs/>
        </w:rPr>
        <w:t>Směrnice evropského parlamentu a Rady EU 2023/970.</w:t>
      </w:r>
    </w:p>
    <w:p w14:paraId="5332B49F" w14:textId="77777777" w:rsidR="00C74AD0" w:rsidRDefault="00C74AD0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</w:p>
    <w:p w14:paraId="77CF477E" w14:textId="77777777" w:rsidR="00C74AD0" w:rsidRDefault="00C74AD0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</w:p>
    <w:p w14:paraId="55DFBB54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38073A5F" w14:textId="4347EB8F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lastRenderedPageBreak/>
        <w:t>Nevíš? Zaplatíš. Kyberbezpečnost po česku</w:t>
      </w:r>
    </w:p>
    <w:p w14:paraId="7D4D559B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  <w:sz w:val="32"/>
          <w:szCs w:val="32"/>
        </w:rPr>
      </w:pPr>
    </w:p>
    <w:p w14:paraId="08572F53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Nový kybernetický zákon platný od listopadu 2025 výrazně rozšířil okruh firem a institucí, na které dopadají přísné povinnosti v oblasti kyberbezpečnosti. Týká se tisíců subjektů napříč obory – od IT a logistiky až po běžné služby. Problém je, že stát přenesl odpovědnost za kybernetickou bezpečnost na firmy samotné, a to pod hrozbou extrémních sankcí. Podnikatelé musí sami „uhodnout“, zda pod zákon spadají, a pokud se spletou, riskují likvidační pokuty. Zákon navíc zavádí osobní odpovědnost managementu a tlačí bezpečnostní povinnosti i na malé dodavatele. Výsledkem je spíš strach a papírování než reálné posílení bezpečnosti.</w:t>
      </w:r>
    </w:p>
    <w:p w14:paraId="13BF2A58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27C8255F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Nový kybernetický zákon. Zákon o kybernetické bezpečnosti, </w:t>
      </w:r>
      <w:r w:rsidRPr="00541A38">
        <w:rPr>
          <w:rFonts w:ascii="Calibri" w:eastAsia="Calibri" w:hAnsi="Calibri" w:cs="Calibri"/>
          <w:b/>
          <w:bCs/>
          <w:i/>
          <w:iCs/>
          <w:color w:val="000000" w:themeColor="text1"/>
        </w:rPr>
        <w:t>Evropské směrnice NIS2.</w:t>
      </w:r>
    </w:p>
    <w:p w14:paraId="444E7837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i/>
          <w:iCs/>
          <w:color w:val="0D0D0D"/>
        </w:rPr>
      </w:pPr>
    </w:p>
    <w:p w14:paraId="1166B37F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rPr>
          <w:rFonts w:ascii="Calibri" w:hAnsi="Calibri" w:cs="Calibri"/>
          <w:i/>
          <w:iCs/>
          <w:color w:val="0D0D0D"/>
        </w:rPr>
      </w:pPr>
    </w:p>
    <w:p w14:paraId="138734FD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7674954D" w14:textId="294DAFB5" w:rsidR="00B700BC" w:rsidRPr="00C74AD0" w:rsidRDefault="00B700BC" w:rsidP="00C74AD0">
      <w:pPr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Na oligarchu už si neposvítíme. Stát zhasnul</w:t>
      </w:r>
    </w:p>
    <w:p w14:paraId="67294F8E" w14:textId="77777777" w:rsidR="00B700BC" w:rsidRDefault="00B700BC" w:rsidP="00B700BC">
      <w:pPr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60A160BC" w14:textId="72CABFB4" w:rsidR="00B700BC" w:rsidRPr="00541A38" w:rsidRDefault="00B700BC" w:rsidP="00B700BC">
      <w:pPr>
        <w:jc w:val="both"/>
        <w:rPr>
          <w:rFonts w:ascii="Calibri" w:hAnsi="Calibri" w:cs="Calibri"/>
          <w:color w:val="000000"/>
        </w:rPr>
      </w:pPr>
      <w:r w:rsidRPr="00541A38">
        <w:rPr>
          <w:rFonts w:ascii="Calibri" w:hAnsi="Calibri" w:cs="Calibri"/>
          <w:b/>
          <w:bCs/>
          <w:color w:val="0D0D0D"/>
          <w:sz w:val="32"/>
          <w:szCs w:val="32"/>
        </w:rPr>
        <w:t xml:space="preserve"> </w:t>
      </w:r>
      <w:r w:rsidRPr="00541A38">
        <w:rPr>
          <w:rFonts w:ascii="Calibri" w:hAnsi="Calibri" w:cs="Calibri"/>
          <w:color w:val="000000"/>
        </w:rPr>
        <w:t xml:space="preserve">Evidence skutečných majitelů měla přinést větší transparentnost podnikání a případně veřejnosti odhalit, kdo skutečně za firmami stojí. Na základě verdiktu Soudního dvora Evropské unie a rozsudků Nejvyššího soudu a Nejvyššího správního soudu   znepřístupnilo Ministerstvo spravedlnosti v prosinci 2025 veřejnou část Evidence skutečných majitelů (ESM). Veřejnost ani média tak už z ESM nezíská žádné údaje o skutečných vlastnících firem, s výjimkou soudního procesu. Ministerstvo spravedlnosti připravuje novou legislativu, která stanoví pravidla přístupu k těmto informacím. Do doby jejího schválení však v Česku nastala doba informačního temna. </w:t>
      </w:r>
    </w:p>
    <w:p w14:paraId="2A08ED7B" w14:textId="77777777" w:rsidR="00B700BC" w:rsidRPr="00541A38" w:rsidRDefault="00B700BC" w:rsidP="00B700BC">
      <w:pPr>
        <w:jc w:val="both"/>
        <w:rPr>
          <w:rFonts w:ascii="Calibri" w:hAnsi="Calibri" w:cs="Calibri"/>
          <w:color w:val="000000"/>
        </w:rPr>
      </w:pPr>
    </w:p>
    <w:p w14:paraId="338B51B7" w14:textId="77777777" w:rsidR="00B700BC" w:rsidRPr="00541A38" w:rsidRDefault="00B700BC" w:rsidP="00B700BC">
      <w:pPr>
        <w:rPr>
          <w:rFonts w:ascii="Calibri" w:hAnsi="Calibri" w:cs="Calibri"/>
          <w:b/>
          <w:bCs/>
          <w:i/>
          <w:iCs/>
          <w:color w:val="212121"/>
        </w:rPr>
      </w:pPr>
      <w:r w:rsidRPr="00541A38">
        <w:rPr>
          <w:rFonts w:ascii="Calibri" w:hAnsi="Calibri" w:cs="Calibri"/>
          <w:b/>
          <w:bCs/>
          <w:i/>
          <w:iCs/>
          <w:color w:val="212121"/>
        </w:rPr>
        <w:t>Zákon č. 37/ 2021 Sb., zákon o evidenci skutečných majitelů.</w:t>
      </w:r>
    </w:p>
    <w:p w14:paraId="02CA9EA5" w14:textId="77777777" w:rsidR="00B700BC" w:rsidRPr="00B700BC" w:rsidRDefault="00B700BC" w:rsidP="00B700BC">
      <w:pPr>
        <w:rPr>
          <w:rFonts w:ascii="Calibri" w:hAnsi="Calibri" w:cs="Calibri"/>
          <w:b/>
          <w:bCs/>
          <w:i/>
          <w:iCs/>
          <w:color w:val="212121"/>
        </w:rPr>
      </w:pPr>
    </w:p>
    <w:p w14:paraId="4A808FEB" w14:textId="7F088057" w:rsidR="00B700BC" w:rsidRPr="00B700BC" w:rsidRDefault="00B700BC" w:rsidP="00B700B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1492C5" wp14:editId="474F4BE2">
                <wp:extent cx="5760720" cy="635"/>
                <wp:effectExtent l="0" t="0" r="17780" b="24765"/>
                <wp:docPr id="7341742" name="Horizontal 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94AE7" id="Horizontal Line 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" filled="f">
                <v:path arrowok="t"/>
                <w10:anchorlock/>
              </v:rect>
            </w:pict>
          </mc:Fallback>
        </mc:AlternateContent>
      </w:r>
    </w:p>
    <w:p w14:paraId="411E172B" w14:textId="77777777" w:rsidR="00B700BC" w:rsidRDefault="00B700BC" w:rsidP="00B700BC">
      <w:pP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</w:p>
    <w:p w14:paraId="20FBAA91" w14:textId="77777777" w:rsidR="00B700BC" w:rsidRDefault="00B700BC" w:rsidP="00B700BC">
      <w:pP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</w:p>
    <w:p w14:paraId="04C52431" w14:textId="77777777" w:rsidR="00C74AD0" w:rsidRDefault="00C74AD0" w:rsidP="00B700BC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</w:p>
    <w:p w14:paraId="0E7ED993" w14:textId="77777777" w:rsidR="00C74AD0" w:rsidRDefault="00C74AD0" w:rsidP="00B700BC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</w:p>
    <w:p w14:paraId="4F63B026" w14:textId="77777777" w:rsidR="00C74AD0" w:rsidRDefault="00C74AD0" w:rsidP="00C74AD0">
      <w:pPr>
        <w:shd w:val="clear" w:color="auto" w:fill="FFFFFF"/>
        <w:spacing w:after="120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</w:p>
    <w:p w14:paraId="324E899A" w14:textId="77777777" w:rsidR="00F20396" w:rsidRDefault="00F20396" w:rsidP="00C74AD0">
      <w:pPr>
        <w:shd w:val="clear" w:color="auto" w:fill="FFFFFF"/>
        <w:spacing w:after="120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</w:p>
    <w:p w14:paraId="282BEF93" w14:textId="77777777" w:rsidR="008A3462" w:rsidRDefault="008A3462" w:rsidP="00C74AD0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</w:p>
    <w:p w14:paraId="3A6B9C92" w14:textId="33A6FC5B" w:rsidR="00B700BC" w:rsidRPr="00C74AD0" w:rsidRDefault="00B700BC" w:rsidP="00C74AD0">
      <w:pPr>
        <w:shd w:val="clear" w:color="auto" w:fill="FFFFFF"/>
        <w:spacing w:after="120"/>
        <w:jc w:val="center"/>
        <w:outlineLvl w:val="0"/>
        <w:rPr>
          <w:rFonts w:ascii="Calibri" w:hAnsi="Calibri" w:cs="Calibri"/>
          <w:b/>
          <w:bCs/>
          <w:color w:val="0D0D0D"/>
          <w:kern w:val="36"/>
          <w:sz w:val="52"/>
          <w:szCs w:val="52"/>
        </w:rPr>
      </w:pPr>
      <w:r w:rsidRPr="00B700BC">
        <w:rPr>
          <w:rFonts w:ascii="Calibri" w:hAnsi="Calibri" w:cs="Calibri"/>
          <w:b/>
          <w:bCs/>
          <w:color w:val="0D0D0D"/>
          <w:kern w:val="36"/>
          <w:sz w:val="52"/>
          <w:szCs w:val="52"/>
        </w:rPr>
        <w:lastRenderedPageBreak/>
        <w:t>SHORTLIST</w:t>
      </w:r>
    </w:p>
    <w:p w14:paraId="26CE0D68" w14:textId="1208683F" w:rsidR="00B700BC" w:rsidRDefault="00B700BC" w:rsidP="00C74AD0">
      <w:pPr>
        <w:pBdr>
          <w:bottom w:val="single" w:sz="6" w:space="1" w:color="auto"/>
        </w:pBd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  <w:r w:rsidRPr="00541A38">
        <w:rPr>
          <w:rFonts w:ascii="Calibri" w:hAnsi="Calibri" w:cs="Calibri"/>
          <w:b/>
          <w:bCs/>
          <w:color w:val="CC3399"/>
          <w:kern w:val="36"/>
          <w:sz w:val="36"/>
          <w:szCs w:val="36"/>
        </w:rPr>
        <w:t>PARAGRAF ROKU 2026</w:t>
      </w:r>
    </w:p>
    <w:p w14:paraId="1E58016B" w14:textId="77777777" w:rsidR="00C74AD0" w:rsidRDefault="00C74AD0" w:rsidP="00C74AD0">
      <w:pPr>
        <w:pBdr>
          <w:bottom w:val="single" w:sz="6" w:space="1" w:color="auto"/>
        </w:pBd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CC3399"/>
          <w:kern w:val="36"/>
          <w:sz w:val="36"/>
          <w:szCs w:val="36"/>
        </w:rPr>
      </w:pPr>
    </w:p>
    <w:p w14:paraId="7E8EBFCB" w14:textId="77777777" w:rsidR="00B700BC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1C3C5124" w14:textId="239E39F7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Jedna firma pro celou Evropu!</w:t>
      </w:r>
    </w:p>
    <w:p w14:paraId="1C0FA45E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5101A253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EU plánuje zavést možnost založit firmu platnou pro celý evropský trh podle jednotných pravidel. Založení by mělo být plně online, rychlé a bez zbytečného papírování v každém státě zvlášť. Jedna firma, jedna pravidla, pro celý vnitřní trh EU. Podnikání v Evropě by tak mohlo být konečně jednodušší.</w:t>
      </w:r>
    </w:p>
    <w:p w14:paraId="46BD3899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64311561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>EU Inc. – evropská společnost podle 28. režimu.</w:t>
      </w:r>
    </w:p>
    <w:p w14:paraId="4A0E153C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</w:p>
    <w:p w14:paraId="13CA5687" w14:textId="77777777" w:rsidR="00B700BC" w:rsidRPr="00541A38" w:rsidRDefault="00B700BC" w:rsidP="00B700BC">
      <w:pPr>
        <w:pBdr>
          <w:bottom w:val="single" w:sz="6" w:space="1" w:color="auto"/>
        </w:pBdr>
        <w:rPr>
          <w:rFonts w:ascii="Calibri" w:hAnsi="Calibri" w:cs="Calibri"/>
          <w:color w:val="0D0D0D"/>
        </w:rPr>
      </w:pPr>
    </w:p>
    <w:p w14:paraId="54664518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72759191" w14:textId="0DB3EC7E" w:rsidR="00B700BC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Úspěch firmy pocítí i zaměstnanci</w:t>
      </w:r>
    </w:p>
    <w:p w14:paraId="2BF30F3C" w14:textId="77777777" w:rsidR="00C74AD0" w:rsidRPr="00541A38" w:rsidRDefault="00C74AD0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235E5E70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Změna režimu zaměstnaneckých akcií (ESOP) umožňuje zaměstnancům získat podíl ve firmě, ale daně zaplatit až ve chvíli, kdy akcie skutečně prodají a vygenerují nějaký zisk. Zároveň jsou akcie osvobozeny od sociálního a zdravotního pojištění. Česko tímto krokem vytvořilo lepší podmínky pro udržení a přilákání talentů do startupů a krůček se přiblížilo moderním ekonomikám.</w:t>
      </w:r>
    </w:p>
    <w:p w14:paraId="7659C4C7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6CDEFB2E" w14:textId="77777777" w:rsidR="00B700BC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 xml:space="preserve">Zaměstnanecké akcie (ESOP). </w:t>
      </w:r>
      <w:r w:rsidRPr="00541A38">
        <w:rPr>
          <w:rFonts w:ascii="Calibri" w:hAnsi="Calibri" w:cs="Calibri"/>
          <w:b/>
          <w:bCs/>
          <w:i/>
          <w:iCs/>
        </w:rPr>
        <w:t xml:space="preserve">Zákon vychází z doporučení EU Startup </w:t>
      </w:r>
      <w:proofErr w:type="spellStart"/>
      <w:r w:rsidRPr="00541A38">
        <w:rPr>
          <w:rFonts w:ascii="Calibri" w:hAnsi="Calibri" w:cs="Calibri"/>
          <w:b/>
          <w:bCs/>
          <w:i/>
          <w:iCs/>
        </w:rPr>
        <w:t>Nations</w:t>
      </w:r>
      <w:proofErr w:type="spellEnd"/>
      <w:r w:rsidRPr="00541A38">
        <w:rPr>
          <w:rFonts w:ascii="Calibri" w:hAnsi="Calibri" w:cs="Calibri"/>
          <w:b/>
          <w:bCs/>
          <w:i/>
          <w:iCs/>
        </w:rPr>
        <w:t xml:space="preserve"> Standard </w:t>
      </w:r>
      <w:proofErr w:type="spellStart"/>
      <w:r w:rsidRPr="00541A38">
        <w:rPr>
          <w:rFonts w:ascii="Calibri" w:hAnsi="Calibri" w:cs="Calibri"/>
          <w:b/>
          <w:bCs/>
          <w:i/>
          <w:iCs/>
        </w:rPr>
        <w:t>of</w:t>
      </w:r>
      <w:proofErr w:type="spellEnd"/>
      <w:r w:rsidRPr="00541A38">
        <w:rPr>
          <w:rFonts w:ascii="Calibri" w:hAnsi="Calibri" w:cs="Calibri"/>
          <w:b/>
          <w:bCs/>
          <w:i/>
          <w:iCs/>
        </w:rPr>
        <w:t xml:space="preserve"> Excellence.</w:t>
      </w:r>
    </w:p>
    <w:p w14:paraId="16F00DAE" w14:textId="77777777" w:rsidR="00C74AD0" w:rsidRPr="00541A38" w:rsidRDefault="00C74AD0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</w:p>
    <w:p w14:paraId="4156FB56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  <w:sz w:val="22"/>
          <w:szCs w:val="22"/>
        </w:rPr>
      </w:pPr>
    </w:p>
    <w:p w14:paraId="1FABBE21" w14:textId="77777777" w:rsidR="00C74AD0" w:rsidRPr="00541A38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533936FA" w14:textId="66101062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Kontroly jen tam, kde to dává smysl</w:t>
      </w:r>
    </w:p>
    <w:p w14:paraId="226D0B8D" w14:textId="77777777" w:rsidR="00C74AD0" w:rsidRPr="00541A38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54FEF9D3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Od roku 2026 musí mít audit méně firem, protože se zvýšily limity obratu a majetku. Stát tím uznal, že u tisíců menších a středních firem byl audit často jen drahou formalitou bez skutečné přidané hodnoty. Jedná se o jednu z největších administrativních úlev posledních let.</w:t>
      </w:r>
    </w:p>
    <w:p w14:paraId="54C2E7CC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54435646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  <w:r w:rsidRPr="00541A38">
        <w:rPr>
          <w:rFonts w:ascii="Calibri" w:hAnsi="Calibri" w:cs="Calibri"/>
          <w:b/>
          <w:bCs/>
          <w:i/>
          <w:iCs/>
          <w:color w:val="0D0D0D"/>
        </w:rPr>
        <w:t>Zvýšení limitů pro povinný audit</w:t>
      </w:r>
      <w:r w:rsidRPr="00541A38">
        <w:rPr>
          <w:rFonts w:ascii="Calibri" w:hAnsi="Calibri" w:cs="Calibri"/>
          <w:b/>
          <w:bCs/>
          <w:i/>
          <w:iCs/>
        </w:rPr>
        <w:t>. Novela vyhlášená pod č. 316/2025 Sb., která mění kmenový zákon č. 563/1991 Sb., o účetnictví (</w:t>
      </w:r>
      <w:proofErr w:type="spellStart"/>
      <w:r w:rsidRPr="00541A38">
        <w:rPr>
          <w:rFonts w:ascii="Calibri" w:hAnsi="Calibri" w:cs="Calibri"/>
          <w:b/>
          <w:bCs/>
          <w:i/>
          <w:iCs/>
        </w:rPr>
        <w:t>ZoÚ</w:t>
      </w:r>
      <w:proofErr w:type="spellEnd"/>
      <w:r w:rsidRPr="00541A38">
        <w:rPr>
          <w:rFonts w:ascii="Calibri" w:hAnsi="Calibri" w:cs="Calibri"/>
          <w:b/>
          <w:bCs/>
          <w:i/>
          <w:iCs/>
        </w:rPr>
        <w:t>).</w:t>
      </w:r>
    </w:p>
    <w:p w14:paraId="36519B1D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</w:p>
    <w:p w14:paraId="11D3C2D7" w14:textId="77777777" w:rsidR="00C74AD0" w:rsidRDefault="00B700BC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541A38">
        <w:rPr>
          <w:rFonts w:ascii="Calibri" w:hAnsi="Calibri" w:cs="Calibri"/>
          <w:color w:val="0D0D0D"/>
        </w:rPr>
        <w:br/>
      </w:r>
    </w:p>
    <w:p w14:paraId="07D69E7B" w14:textId="69454EF8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lastRenderedPageBreak/>
        <w:t>Detox, po kterém české firmy nebolí hlava</w:t>
      </w:r>
    </w:p>
    <w:p w14:paraId="109B00DB" w14:textId="77777777" w:rsidR="00C74AD0" w:rsidRPr="00541A38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4F8A883C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Byrokratický detox je dlouhodobá a systematická iniciativa Hospodářské komory ČR, který zaměřený na rušení zbytečných povinností, formulářů a duplicit. Méně formulářů, méně hlášení, méně razítek. Cílem je, aby podnikatelé trávili více času podnikáním a méně vyplňováním tabulek.</w:t>
      </w:r>
    </w:p>
    <w:p w14:paraId="10993E71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61FD23F4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</w:rPr>
      </w:pPr>
      <w:r w:rsidRPr="00541A38">
        <w:rPr>
          <w:rFonts w:ascii="Calibri" w:hAnsi="Calibri" w:cs="Calibri"/>
          <w:b/>
          <w:bCs/>
          <w:i/>
          <w:iCs/>
        </w:rPr>
        <w:t>Byrokratický detox (systematické snižování regulatorní zátěže podnikatelů) je aktivitou, která má za cíl omezovat neodůvodněnou regulatorní zátěž a zbytečné administrativní povinnosti.</w:t>
      </w:r>
    </w:p>
    <w:p w14:paraId="47593C9B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D0D0D"/>
        </w:rPr>
      </w:pPr>
    </w:p>
    <w:p w14:paraId="10E1ACB2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2302566D" w14:textId="77777777" w:rsidR="00C74AD0" w:rsidRDefault="00C74AD0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3CAAE402" w14:textId="30D53E4F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Inovovat se vyplatí. Daňové zvýhodnění, které skutečně motivuje</w:t>
      </w:r>
    </w:p>
    <w:p w14:paraId="282248A4" w14:textId="77777777" w:rsidR="00C74AD0" w:rsidRPr="00C74AD0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</w:p>
    <w:p w14:paraId="02F9F52D" w14:textId="1EFC4486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 xml:space="preserve">Od ledna 2026 se výrazně zpřehlednil a zatraktivnil systém daňových odpočtů. Firmy si mohou nově odečíst až 150 % nákladů na výzkum a vývoj od základu daně. </w:t>
      </w:r>
      <w:r w:rsidR="00D4543B">
        <w:rPr>
          <w:rFonts w:ascii="Calibri" w:hAnsi="Calibri" w:cs="Calibri"/>
          <w:color w:val="0D0D0D"/>
        </w:rPr>
        <w:t>Firmám se zkrátka i daňově v</w:t>
      </w:r>
      <w:r w:rsidRPr="00541A38">
        <w:rPr>
          <w:rFonts w:ascii="Calibri" w:hAnsi="Calibri" w:cs="Calibri"/>
          <w:color w:val="0D0D0D"/>
        </w:rPr>
        <w:t xml:space="preserve">yplatí investovat do inovací, technologií a vývoje. </w:t>
      </w:r>
      <w:r w:rsidR="00D4543B">
        <w:rPr>
          <w:rFonts w:ascii="Calibri" w:hAnsi="Calibri" w:cs="Calibri"/>
          <w:color w:val="0D0D0D"/>
        </w:rPr>
        <w:t>Podnikatelé mají jasnou motivaci</w:t>
      </w:r>
      <w:r w:rsidR="008A3462">
        <w:rPr>
          <w:rFonts w:ascii="Calibri" w:hAnsi="Calibri" w:cs="Calibri"/>
          <w:color w:val="0D0D0D"/>
        </w:rPr>
        <w:t xml:space="preserve"> – </w:t>
      </w:r>
      <w:r w:rsidRPr="00541A38">
        <w:rPr>
          <w:rFonts w:ascii="Calibri" w:hAnsi="Calibri" w:cs="Calibri"/>
          <w:color w:val="0D0D0D"/>
        </w:rPr>
        <w:t xml:space="preserve">zaplatí méně na daních a více investují do </w:t>
      </w:r>
      <w:r w:rsidR="00D4543B">
        <w:rPr>
          <w:rFonts w:ascii="Calibri" w:hAnsi="Calibri" w:cs="Calibri"/>
          <w:color w:val="0D0D0D"/>
        </w:rPr>
        <w:t xml:space="preserve">své </w:t>
      </w:r>
      <w:r w:rsidRPr="00541A38">
        <w:rPr>
          <w:rFonts w:ascii="Calibri" w:hAnsi="Calibri" w:cs="Calibri"/>
          <w:color w:val="0D0D0D"/>
        </w:rPr>
        <w:t>budoucnosti</w:t>
      </w:r>
      <w:r w:rsidR="00D4543B">
        <w:rPr>
          <w:rFonts w:ascii="Calibri" w:hAnsi="Calibri" w:cs="Calibri"/>
          <w:color w:val="0D0D0D"/>
        </w:rPr>
        <w:t xml:space="preserve"> </w:t>
      </w:r>
      <w:r w:rsidRPr="00541A38">
        <w:rPr>
          <w:rFonts w:ascii="Calibri" w:hAnsi="Calibri" w:cs="Calibri"/>
          <w:color w:val="0D0D0D"/>
        </w:rPr>
        <w:t>a konkurenceschopnosti</w:t>
      </w:r>
      <w:r w:rsidR="00D4543B">
        <w:rPr>
          <w:rFonts w:ascii="Calibri" w:hAnsi="Calibri" w:cs="Calibri"/>
          <w:color w:val="0D0D0D"/>
        </w:rPr>
        <w:t>.</w:t>
      </w:r>
    </w:p>
    <w:p w14:paraId="4A3F67A9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7D788D98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14DCF0D7" w14:textId="77777777" w:rsidR="00B700BC" w:rsidRPr="00541A38" w:rsidRDefault="00B700BC" w:rsidP="00B700BC">
      <w:pPr>
        <w:shd w:val="clear" w:color="auto" w:fill="FFFFFF"/>
        <w:jc w:val="both"/>
        <w:outlineLvl w:val="1"/>
        <w:rPr>
          <w:rStyle w:val="Siln"/>
          <w:rFonts w:ascii="Calibri" w:hAnsi="Calibri" w:cs="Calibri"/>
          <w:b w:val="0"/>
          <w:bCs w:val="0"/>
          <w:i/>
          <w:iCs/>
          <w:color w:val="000000" w:themeColor="text1"/>
        </w:rPr>
      </w:pPr>
      <w:r w:rsidRPr="00541A38">
        <w:rPr>
          <w:rFonts w:ascii="Calibri" w:hAnsi="Calibri" w:cs="Calibri"/>
          <w:b/>
          <w:bCs/>
          <w:i/>
          <w:iCs/>
          <w:color w:val="000000" w:themeColor="text1"/>
        </w:rPr>
        <w:t xml:space="preserve">Odpočty na výzkum a vývoj. </w:t>
      </w:r>
      <w:r w:rsidRPr="00541A38">
        <w:rPr>
          <w:rStyle w:val="Siln"/>
          <w:rFonts w:ascii="Calibri" w:hAnsi="Calibri" w:cs="Calibri"/>
          <w:i/>
          <w:iCs/>
          <w:color w:val="000000" w:themeColor="text1"/>
        </w:rPr>
        <w:t>Úprava odpočtu na výzkum a vývoj (§ 34a ZDP).</w:t>
      </w:r>
    </w:p>
    <w:p w14:paraId="633723D1" w14:textId="77777777" w:rsidR="00B700BC" w:rsidRPr="00541A38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color w:val="0D0D0D"/>
        </w:rPr>
      </w:pPr>
    </w:p>
    <w:p w14:paraId="3AFB6374" w14:textId="77777777" w:rsidR="00C74AD0" w:rsidRDefault="00C74AD0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438ACA6A" w14:textId="0C176BCC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  <w:r w:rsidRPr="00C74AD0">
        <w:rPr>
          <w:rFonts w:ascii="Calibri" w:hAnsi="Calibri" w:cs="Calibri"/>
          <w:b/>
          <w:bCs/>
          <w:color w:val="0D0D0D"/>
          <w:sz w:val="30"/>
          <w:szCs w:val="30"/>
        </w:rPr>
        <w:t>„</w:t>
      </w: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Drobné“ už nejsou drama</w:t>
      </w:r>
    </w:p>
    <w:p w14:paraId="11AEC36A" w14:textId="77777777" w:rsidR="00C74AD0" w:rsidRPr="00541A38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3E841F52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Novela zákona o daních z příjmů zvyšuje limit daňově uznatelné opravné položky z 30 000 Kč na 50 000 Kč. Pro podnikatele to znamená méně administrativy při řešení drobných pohledávek a realističtější odraz praxe, kdy se malé dluhy často nevyplatí složitě vymáhat. Změna zjednodušuje účetnictví, šetří čas i náklady a pomáhá podnikatelům soustředit se na byznys místo papírování.</w:t>
      </w:r>
    </w:p>
    <w:p w14:paraId="6DB26C52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70F27654" w14:textId="77777777" w:rsidR="00B700BC" w:rsidRPr="00541A38" w:rsidRDefault="00B700BC" w:rsidP="00B700BC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00000" w:themeColor="text1"/>
        </w:rPr>
      </w:pPr>
      <w:r w:rsidRPr="00541A38">
        <w:rPr>
          <w:rFonts w:ascii="Calibri" w:hAnsi="Calibri" w:cs="Calibri"/>
          <w:b/>
          <w:bCs/>
          <w:i/>
          <w:iCs/>
          <w:color w:val="000000" w:themeColor="text1"/>
        </w:rPr>
        <w:t>Novela zákona o daních z příjmů – zvýšení limitu opravné položky (§ 8c ZDP).</w:t>
      </w:r>
    </w:p>
    <w:p w14:paraId="7DF37AD5" w14:textId="77777777" w:rsidR="00B700BC" w:rsidRDefault="00B700BC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i/>
          <w:iCs/>
          <w:sz w:val="21"/>
          <w:szCs w:val="21"/>
        </w:rPr>
      </w:pPr>
    </w:p>
    <w:p w14:paraId="797B42EF" w14:textId="77777777" w:rsidR="00C74AD0" w:rsidRPr="00541A38" w:rsidRDefault="00C74AD0" w:rsidP="00B700BC">
      <w:pPr>
        <w:pBdr>
          <w:bottom w:val="single" w:sz="6" w:space="1" w:color="auto"/>
        </w:pBdr>
        <w:shd w:val="clear" w:color="auto" w:fill="FFFFFF"/>
        <w:jc w:val="both"/>
        <w:outlineLvl w:val="1"/>
        <w:rPr>
          <w:rFonts w:ascii="Calibri" w:hAnsi="Calibri" w:cs="Calibri"/>
          <w:i/>
          <w:iCs/>
          <w:color w:val="0D0D0D"/>
        </w:rPr>
      </w:pPr>
    </w:p>
    <w:p w14:paraId="72CC9BD1" w14:textId="77777777" w:rsidR="00C74AD0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00BC39EA" w14:textId="6319F64E" w:rsidR="00B700BC" w:rsidRPr="00C74AD0" w:rsidRDefault="00B700BC" w:rsidP="00C74AD0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2"/>
          <w:szCs w:val="32"/>
        </w:rPr>
      </w:pPr>
      <w:r w:rsidRPr="00C74AD0">
        <w:rPr>
          <w:rFonts w:ascii="Calibri" w:hAnsi="Calibri" w:cs="Calibri"/>
          <w:b/>
          <w:bCs/>
          <w:color w:val="0D0D0D"/>
          <w:sz w:val="32"/>
          <w:szCs w:val="32"/>
        </w:rPr>
        <w:t>Přesedláno na méně byrokracie</w:t>
      </w:r>
    </w:p>
    <w:p w14:paraId="6446E257" w14:textId="77777777" w:rsidR="00C74AD0" w:rsidRPr="00541A38" w:rsidRDefault="00C74AD0" w:rsidP="00B700BC">
      <w:pPr>
        <w:shd w:val="clear" w:color="auto" w:fill="FFFFFF"/>
        <w:jc w:val="both"/>
        <w:rPr>
          <w:rFonts w:ascii="Calibri" w:hAnsi="Calibri" w:cs="Calibri"/>
          <w:b/>
          <w:bCs/>
          <w:color w:val="0D0D0D"/>
          <w:sz w:val="30"/>
          <w:szCs w:val="30"/>
        </w:rPr>
      </w:pPr>
    </w:p>
    <w:p w14:paraId="50067523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  <w:r w:rsidRPr="00541A38">
        <w:rPr>
          <w:rFonts w:ascii="Calibri" w:hAnsi="Calibri" w:cs="Calibri"/>
          <w:color w:val="0D0D0D"/>
        </w:rPr>
        <w:t>Chovatelé koní nově nebudou muset podávat zvláštní elektronická hlášení jen proto, že mají koně a zároveň čerpají zemědělské dotace. Potřebné údaje si stát nově zjistí přímo z ústřední evidence, stejně jako u skotu, ovcí nebo koz. Změna výrazně snižuje administrativní zátěž zemědělců a odstraňuje dlouhodobě kritizovanou duplicitu. Součástí návrhu je i větší flexibilita v kombinaci vybraných zemědělských dotací.</w:t>
      </w:r>
    </w:p>
    <w:p w14:paraId="22C8A339" w14:textId="77777777" w:rsidR="00B700BC" w:rsidRPr="00541A38" w:rsidRDefault="00B700BC" w:rsidP="00B700BC">
      <w:pPr>
        <w:shd w:val="clear" w:color="auto" w:fill="FFFFFF"/>
        <w:jc w:val="both"/>
        <w:rPr>
          <w:rFonts w:ascii="Calibri" w:hAnsi="Calibri" w:cs="Calibri"/>
          <w:color w:val="0D0D0D"/>
        </w:rPr>
      </w:pPr>
    </w:p>
    <w:p w14:paraId="1F8CE5BC" w14:textId="327E54C1" w:rsidR="00B563ED" w:rsidRPr="00C74AD0" w:rsidRDefault="00B700BC" w:rsidP="00C74AD0">
      <w:pPr>
        <w:shd w:val="clear" w:color="auto" w:fill="FFFFFF"/>
        <w:jc w:val="both"/>
        <w:outlineLvl w:val="1"/>
        <w:rPr>
          <w:rFonts w:ascii="Calibri" w:hAnsi="Calibri" w:cs="Calibri"/>
          <w:b/>
          <w:bCs/>
          <w:i/>
          <w:iCs/>
          <w:color w:val="000000" w:themeColor="text1"/>
        </w:rPr>
      </w:pPr>
      <w:r w:rsidRPr="00541A38">
        <w:rPr>
          <w:rFonts w:ascii="Calibri" w:hAnsi="Calibri" w:cs="Calibri"/>
          <w:b/>
          <w:bCs/>
          <w:i/>
          <w:iCs/>
          <w:color w:val="000000" w:themeColor="text1"/>
        </w:rPr>
        <w:t>Snížení administrativy pro chovatele koní – nařízení vlády (</w:t>
      </w:r>
      <w:proofErr w:type="spellStart"/>
      <w:r w:rsidRPr="00541A38">
        <w:rPr>
          <w:rFonts w:ascii="Calibri" w:hAnsi="Calibri" w:cs="Calibri"/>
          <w:b/>
          <w:bCs/>
          <w:i/>
          <w:iCs/>
          <w:color w:val="000000" w:themeColor="text1"/>
        </w:rPr>
        <w:t>MZe</w:t>
      </w:r>
      <w:proofErr w:type="spellEnd"/>
      <w:r w:rsidRPr="00541A38">
        <w:rPr>
          <w:rFonts w:ascii="Calibri" w:hAnsi="Calibri" w:cs="Calibri"/>
          <w:b/>
          <w:bCs/>
          <w:i/>
          <w:iCs/>
          <w:color w:val="000000" w:themeColor="text1"/>
        </w:rPr>
        <w:t>).</w:t>
      </w:r>
    </w:p>
    <w:sectPr w:rsidR="00B563ED" w:rsidRPr="00C74AD0" w:rsidSect="002B796F">
      <w:headerReference w:type="default" r:id="rId12"/>
      <w:footerReference w:type="default" r:id="rId13"/>
      <w:pgSz w:w="11900" w:h="16840"/>
      <w:pgMar w:top="2835" w:right="1418" w:bottom="2552" w:left="1418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2D31" w14:textId="77777777" w:rsidR="00EC15DE" w:rsidRDefault="00EC15DE" w:rsidP="009674F1">
      <w:r>
        <w:separator/>
      </w:r>
    </w:p>
  </w:endnote>
  <w:endnote w:type="continuationSeparator" w:id="0">
    <w:p w14:paraId="73998A68" w14:textId="77777777" w:rsidR="00EC15DE" w:rsidRDefault="00EC15DE" w:rsidP="009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E57" w14:textId="77777777" w:rsidR="009674F1" w:rsidRDefault="006A5057" w:rsidP="009674F1">
    <w:pPr>
      <w:tabs>
        <w:tab w:val="left" w:pos="93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9E2D3E" wp14:editId="43F4CDAC">
          <wp:simplePos x="0" y="0"/>
          <wp:positionH relativeFrom="column">
            <wp:posOffset>-900430</wp:posOffset>
          </wp:positionH>
          <wp:positionV relativeFrom="paragraph">
            <wp:posOffset>-674839</wp:posOffset>
          </wp:positionV>
          <wp:extent cx="7679597" cy="1277781"/>
          <wp:effectExtent l="0" t="0" r="4445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597" cy="127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4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2943" w14:textId="77777777" w:rsidR="00EC15DE" w:rsidRDefault="00EC15DE" w:rsidP="009674F1">
      <w:r>
        <w:separator/>
      </w:r>
    </w:p>
  </w:footnote>
  <w:footnote w:type="continuationSeparator" w:id="0">
    <w:p w14:paraId="70424B55" w14:textId="77777777" w:rsidR="00EC15DE" w:rsidRDefault="00EC15DE" w:rsidP="0096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81D8" w14:textId="77777777" w:rsidR="009674F1" w:rsidRDefault="006A5057" w:rsidP="00E03A2C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D5151" wp14:editId="2A30A158">
          <wp:simplePos x="0" y="0"/>
          <wp:positionH relativeFrom="column">
            <wp:posOffset>-881380</wp:posOffset>
          </wp:positionH>
          <wp:positionV relativeFrom="paragraph">
            <wp:posOffset>-660400</wp:posOffset>
          </wp:positionV>
          <wp:extent cx="7559675" cy="100372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2AC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F66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A49D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202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EEB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EE5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4A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6B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E7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94D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8455D"/>
    <w:multiLevelType w:val="hybridMultilevel"/>
    <w:tmpl w:val="0164A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90635"/>
    <w:multiLevelType w:val="hybridMultilevel"/>
    <w:tmpl w:val="A18CE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B7310"/>
    <w:multiLevelType w:val="hybridMultilevel"/>
    <w:tmpl w:val="4D1C8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6259">
    <w:abstractNumId w:val="4"/>
  </w:num>
  <w:num w:numId="2" w16cid:durableId="147064844">
    <w:abstractNumId w:val="5"/>
  </w:num>
  <w:num w:numId="3" w16cid:durableId="1244685480">
    <w:abstractNumId w:val="6"/>
  </w:num>
  <w:num w:numId="4" w16cid:durableId="2065827962">
    <w:abstractNumId w:val="7"/>
  </w:num>
  <w:num w:numId="5" w16cid:durableId="625048241">
    <w:abstractNumId w:val="9"/>
  </w:num>
  <w:num w:numId="6" w16cid:durableId="493765942">
    <w:abstractNumId w:val="0"/>
  </w:num>
  <w:num w:numId="7" w16cid:durableId="1584603778">
    <w:abstractNumId w:val="1"/>
  </w:num>
  <w:num w:numId="8" w16cid:durableId="1768767284">
    <w:abstractNumId w:val="2"/>
  </w:num>
  <w:num w:numId="9" w16cid:durableId="1373916195">
    <w:abstractNumId w:val="3"/>
  </w:num>
  <w:num w:numId="10" w16cid:durableId="793252126">
    <w:abstractNumId w:val="8"/>
  </w:num>
  <w:num w:numId="11" w16cid:durableId="229922363">
    <w:abstractNumId w:val="11"/>
  </w:num>
  <w:num w:numId="12" w16cid:durableId="2077245467">
    <w:abstractNumId w:val="10"/>
  </w:num>
  <w:num w:numId="13" w16cid:durableId="798451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1"/>
    <w:rsid w:val="00033462"/>
    <w:rsid w:val="00067799"/>
    <w:rsid w:val="000805D2"/>
    <w:rsid w:val="001E581C"/>
    <w:rsid w:val="002740C9"/>
    <w:rsid w:val="002B796F"/>
    <w:rsid w:val="00332038"/>
    <w:rsid w:val="00420CCF"/>
    <w:rsid w:val="005A08AE"/>
    <w:rsid w:val="005A2C7F"/>
    <w:rsid w:val="005A6A35"/>
    <w:rsid w:val="00610FED"/>
    <w:rsid w:val="00635E27"/>
    <w:rsid w:val="00686822"/>
    <w:rsid w:val="006A5057"/>
    <w:rsid w:val="00783DAE"/>
    <w:rsid w:val="007D3045"/>
    <w:rsid w:val="007D7153"/>
    <w:rsid w:val="00823CC5"/>
    <w:rsid w:val="008A3462"/>
    <w:rsid w:val="009460B7"/>
    <w:rsid w:val="009503FC"/>
    <w:rsid w:val="009674F1"/>
    <w:rsid w:val="009823FB"/>
    <w:rsid w:val="009A1694"/>
    <w:rsid w:val="009A43F7"/>
    <w:rsid w:val="009E1E08"/>
    <w:rsid w:val="009E2965"/>
    <w:rsid w:val="00A30901"/>
    <w:rsid w:val="00B15270"/>
    <w:rsid w:val="00B4716A"/>
    <w:rsid w:val="00B563ED"/>
    <w:rsid w:val="00B700BC"/>
    <w:rsid w:val="00BA10CE"/>
    <w:rsid w:val="00C23481"/>
    <w:rsid w:val="00C74AD0"/>
    <w:rsid w:val="00CE40BF"/>
    <w:rsid w:val="00D4543B"/>
    <w:rsid w:val="00D96F0F"/>
    <w:rsid w:val="00E03A2C"/>
    <w:rsid w:val="00E07073"/>
    <w:rsid w:val="00E275A3"/>
    <w:rsid w:val="00E3311D"/>
    <w:rsid w:val="00EC15DE"/>
    <w:rsid w:val="00ED2502"/>
    <w:rsid w:val="00EE6F0F"/>
    <w:rsid w:val="00EF7D4F"/>
    <w:rsid w:val="00F20396"/>
    <w:rsid w:val="00F61538"/>
    <w:rsid w:val="00F639DC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939C"/>
  <w15:chartTrackingRefBased/>
  <w15:docId w15:val="{109C3F98-9BB5-C144-8CE8-89BC080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5A3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A5057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5057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40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503F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A5057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5057"/>
    <w:rPr>
      <w:rFonts w:ascii="Arial" w:eastAsiaTheme="majorEastAsia" w:hAnsi="Arial" w:cstheme="majorBidi"/>
      <w:spacing w:val="-10"/>
      <w:kern w:val="28"/>
      <w:sz w:val="52"/>
      <w:szCs w:val="56"/>
    </w:rPr>
  </w:style>
  <w:style w:type="paragraph" w:styleId="Bezmezer">
    <w:name w:val="No Spacing"/>
    <w:uiPriority w:val="1"/>
    <w:qFormat/>
    <w:rsid w:val="006A5057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A505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5057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Zhlav">
    <w:name w:val="header"/>
    <w:basedOn w:val="Normln"/>
    <w:link w:val="ZhlavChar"/>
    <w:uiPriority w:val="99"/>
    <w:unhideWhenUsed/>
    <w:rsid w:val="00F639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9D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639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9DC"/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B700B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700B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0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00B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00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Na%C5%99%C3%ADzen%C3%AD+EU+o+produktech+nezp%C5%AFsobuj%C3%ADc%C3%ADch+odles%C5%88ov%C3%A1n%C3%AD+%28EUDR%29&amp;oq=EU+na%C5%99%C3%ADzen%C3%AD+odles%C5%88ov%C3%A1n%C3%AD&amp;gs_lcrp=EgZjaHJvbWUyBggAEEUYOTIICAEQABgWGB4yCAgCEAAYFhgeMgoIAxAAGIAEGKIEMgcIBBAAGO8FMgcIBRAAGO8F0gEINjI0NmowajeoAgCwAgA&amp;sourceid=chrome&amp;ie=UTF-8&amp;mstk=AUtExfAUyFVW02OVv5S6EwMf64FyhNR-yJ64XuqDbcSWA3-W3lMWYNdQzgFQo8i8EqMYRKrimkXjulXngG699nWKxa-_6zA7p9wy8WuDHLu9bAv9hcMGnKD__Nn-eYOMzAszeDin9Nh0RxBlbWhP6mwAQSl0cV9pvGxDsdu57G9fCG0TWQE&amp;csui=3&amp;ved=2ahUKEwjRl4-anpqTAxUpXvEDHQDyOKsQgK4QegQIARA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ndrichvogel/Library/CloudStorage/OneDrive-Sdi&#769;lene&#769;knihovny&#8211;B&amp;RHolding,s.r.o/Astronaut%20Creative%20Lab%20-%20Klienti/Communa%20-%20Firma%20roku/2026/Hlavic&#780;kovy&#769;%20papi&#769;r%20Absurdita/sources/Communa_hlp_2019_A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e1713-4ce7-4bff-9b25-53c8b7d58926">
      <Terms xmlns="http://schemas.microsoft.com/office/infopath/2007/PartnerControls"/>
    </lcf76f155ced4ddcb4097134ff3c332f>
    <TaxCatchAll xmlns="67127170-065a-4910-bf80-0f16f7033c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13EEF989BD4409F7B36BA2D1832E1" ma:contentTypeVersion="19" ma:contentTypeDescription="Vytvoří nový dokument" ma:contentTypeScope="" ma:versionID="b9c0f8f4b2558c441005f1581eec80d6">
  <xsd:schema xmlns:xsd="http://www.w3.org/2001/XMLSchema" xmlns:xs="http://www.w3.org/2001/XMLSchema" xmlns:p="http://schemas.microsoft.com/office/2006/metadata/properties" xmlns:ns2="b3fe1713-4ce7-4bff-9b25-53c8b7d58926" xmlns:ns3="7d2bd994-0bc1-49e8-b1d8-085c24f04c12" xmlns:ns4="67127170-065a-4910-bf80-0f16f7033ca5" targetNamespace="http://schemas.microsoft.com/office/2006/metadata/properties" ma:root="true" ma:fieldsID="e3c13e763e78f6fe99a6c582cc2e388a" ns2:_="" ns3:_="" ns4:_="">
    <xsd:import namespace="b3fe1713-4ce7-4bff-9b25-53c8b7d58926"/>
    <xsd:import namespace="7d2bd994-0bc1-49e8-b1d8-085c24f04c12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1713-4ce7-4bff-9b25-53c8b7d5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d994-0bc1-49e8-b1d8-085c24f0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BC0D5-A62D-0840-B39E-8F30FE2C7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DF7F0-8676-4CD4-A1A4-C75E1A6C6E14}">
  <ds:schemaRefs>
    <ds:schemaRef ds:uri="http://schemas.microsoft.com/office/2006/metadata/properties"/>
    <ds:schemaRef ds:uri="http://schemas.microsoft.com/office/infopath/2007/PartnerControls"/>
    <ds:schemaRef ds:uri="b3fe1713-4ce7-4bff-9b25-53c8b7d58926"/>
    <ds:schemaRef ds:uri="67127170-065a-4910-bf80-0f16f7033ca5"/>
  </ds:schemaRefs>
</ds:datastoreItem>
</file>

<file path=customXml/itemProps3.xml><?xml version="1.0" encoding="utf-8"?>
<ds:datastoreItem xmlns:ds="http://schemas.openxmlformats.org/officeDocument/2006/customXml" ds:itemID="{E06A7E1E-09C1-4771-8FC2-3E657367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1713-4ce7-4bff-9b25-53c8b7d58926"/>
    <ds:schemaRef ds:uri="7d2bd994-0bc1-49e8-b1d8-085c24f04c12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57FEF-3822-4BF6-9397-877C11F48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Communa_hlp_2019_A4.dotx</Template>
  <TotalTime>33</TotalTime>
  <Pages>5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Vogel</dc:creator>
  <cp:keywords/>
  <dc:description/>
  <cp:lastModifiedBy>Gabriela Tomanová</cp:lastModifiedBy>
  <cp:revision>4</cp:revision>
  <cp:lastPrinted>2026-04-10T14:12:00Z</cp:lastPrinted>
  <dcterms:created xsi:type="dcterms:W3CDTF">2026-04-10T19:37:00Z</dcterms:created>
  <dcterms:modified xsi:type="dcterms:W3CDTF">2026-04-10T20:11:00Z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0x0101000B013EEF989BD4409F7B36BA2D1832E1</vt:lpwstr>
  </property>
</Properties>
</file>